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CEC" w:rsidRPr="005A0CEC" w:rsidRDefault="003634F7" w:rsidP="005A0CEC">
      <w:pPr>
        <w:spacing w:before="24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Section S1.</w:t>
      </w:r>
      <w:r w:rsidR="005A0CEC" w:rsidRPr="005A0CEC">
        <w:rPr>
          <w:rFonts w:ascii="Times New Roman" w:hAnsi="Times New Roman" w:cs="Times New Roman"/>
          <w:b/>
          <w:sz w:val="28"/>
        </w:rPr>
        <w:t xml:space="preserve"> Analytical methods</w:t>
      </w:r>
    </w:p>
    <w:p w:rsidR="005A0CEC" w:rsidRPr="005A0CEC" w:rsidRDefault="005A0CEC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5A0CEC">
        <w:rPr>
          <w:rFonts w:ascii="Times New Roman" w:hAnsi="Times New Roman" w:cs="Times New Roman"/>
        </w:rPr>
        <w:t xml:space="preserve">Except for samples UD14 and UD17, the U–Pb dating of zircons was conducted using a Photon Machines Analyte Excite 193 nm excimer laser system equipped with a two-volume </w:t>
      </w:r>
      <w:proofErr w:type="spellStart"/>
      <w:r w:rsidRPr="005A0CEC">
        <w:rPr>
          <w:rFonts w:ascii="Times New Roman" w:hAnsi="Times New Roman" w:cs="Times New Roman"/>
        </w:rPr>
        <w:t>HelEx</w:t>
      </w:r>
      <w:proofErr w:type="spellEnd"/>
      <w:r w:rsidRPr="005A0CEC">
        <w:rPr>
          <w:rFonts w:ascii="Times New Roman" w:hAnsi="Times New Roman" w:cs="Times New Roman"/>
        </w:rPr>
        <w:t xml:space="preserve"> ablation cell, coupled to an Agilent 7900 quadrupole ICP-MS instrument at the CGS. Samples were ablated in a helium atmosphere (0.8 L/min) at a pulse repetition rate of 5 Hz, using a spot size of 25 </w:t>
      </w:r>
      <w:proofErr w:type="spellStart"/>
      <w:r w:rsidRPr="005A0CEC">
        <w:rPr>
          <w:rFonts w:ascii="Times New Roman" w:hAnsi="Times New Roman" w:cs="Times New Roman"/>
        </w:rPr>
        <w:t>μm</w:t>
      </w:r>
      <w:proofErr w:type="spellEnd"/>
      <w:r w:rsidRPr="005A0CEC">
        <w:rPr>
          <w:rFonts w:ascii="Times New Roman" w:hAnsi="Times New Roman" w:cs="Times New Roman"/>
        </w:rPr>
        <w:t xml:space="preserve"> and a laser fluence of 7.59 J/cm². Each measurement comprised 20 seconds of blank acquisition followed by 40 seconds of ablation. Signal collection was performed for masses </w:t>
      </w:r>
      <w:r w:rsidRPr="005A0CEC">
        <w:rPr>
          <w:rFonts w:ascii="Times New Roman" w:hAnsi="Times New Roman" w:cs="Times New Roman"/>
          <w:vertAlign w:val="superscript"/>
        </w:rPr>
        <w:t>202</w:t>
      </w:r>
      <w:r w:rsidRPr="005A0CEC">
        <w:rPr>
          <w:rFonts w:ascii="Times New Roman" w:hAnsi="Times New Roman" w:cs="Times New Roman"/>
        </w:rPr>
        <w:t xml:space="preserve">Hg, </w:t>
      </w:r>
      <w:r w:rsidRPr="005A0CEC">
        <w:rPr>
          <w:rFonts w:ascii="Times New Roman" w:hAnsi="Times New Roman" w:cs="Times New Roman"/>
          <w:vertAlign w:val="superscript"/>
        </w:rPr>
        <w:t>204</w:t>
      </w:r>
      <w:r w:rsidRPr="005A0CEC">
        <w:rPr>
          <w:rFonts w:ascii="Times New Roman" w:hAnsi="Times New Roman" w:cs="Times New Roman"/>
        </w:rPr>
        <w:t xml:space="preserve">Pb, </w:t>
      </w:r>
      <w:r w:rsidRPr="005A0CEC">
        <w:rPr>
          <w:rFonts w:ascii="Times New Roman" w:hAnsi="Times New Roman" w:cs="Times New Roman"/>
          <w:vertAlign w:val="superscript"/>
        </w:rPr>
        <w:t>206</w:t>
      </w:r>
      <w:r w:rsidRPr="005A0CEC">
        <w:rPr>
          <w:rFonts w:ascii="Times New Roman" w:hAnsi="Times New Roman" w:cs="Times New Roman"/>
        </w:rPr>
        <w:t xml:space="preserve">Pb, </w:t>
      </w:r>
      <w:r w:rsidRPr="005A0CEC">
        <w:rPr>
          <w:rFonts w:ascii="Times New Roman" w:hAnsi="Times New Roman" w:cs="Times New Roman"/>
          <w:vertAlign w:val="superscript"/>
        </w:rPr>
        <w:t>207</w:t>
      </w:r>
      <w:r w:rsidRPr="005A0CEC">
        <w:rPr>
          <w:rFonts w:ascii="Times New Roman" w:hAnsi="Times New Roman" w:cs="Times New Roman"/>
        </w:rPr>
        <w:t xml:space="preserve">Pb, </w:t>
      </w:r>
      <w:r w:rsidRPr="005A0CEC">
        <w:rPr>
          <w:rFonts w:ascii="Times New Roman" w:hAnsi="Times New Roman" w:cs="Times New Roman"/>
          <w:vertAlign w:val="superscript"/>
        </w:rPr>
        <w:t>208</w:t>
      </w:r>
      <w:r w:rsidRPr="005A0CEC">
        <w:rPr>
          <w:rFonts w:ascii="Times New Roman" w:hAnsi="Times New Roman" w:cs="Times New Roman"/>
        </w:rPr>
        <w:t xml:space="preserve">Pb, </w:t>
      </w:r>
      <w:r w:rsidRPr="005A0CEC">
        <w:rPr>
          <w:rFonts w:ascii="Times New Roman" w:hAnsi="Times New Roman" w:cs="Times New Roman"/>
          <w:vertAlign w:val="superscript"/>
        </w:rPr>
        <w:t>232</w:t>
      </w:r>
      <w:r w:rsidRPr="005A0CEC">
        <w:rPr>
          <w:rFonts w:ascii="Times New Roman" w:hAnsi="Times New Roman" w:cs="Times New Roman"/>
        </w:rPr>
        <w:t xml:space="preserve">Th, and </w:t>
      </w:r>
      <w:r w:rsidRPr="005A0CEC">
        <w:rPr>
          <w:rFonts w:ascii="Times New Roman" w:hAnsi="Times New Roman" w:cs="Times New Roman"/>
          <w:vertAlign w:val="superscript"/>
        </w:rPr>
        <w:t>238</w:t>
      </w:r>
      <w:r w:rsidRPr="005A0CEC">
        <w:rPr>
          <w:rFonts w:ascii="Times New Roman" w:hAnsi="Times New Roman" w:cs="Times New Roman"/>
        </w:rPr>
        <w:t xml:space="preserve">U using a secondary electron multiplier (SEM) detector, with one data point per mass peak and dwell times of 10, 10, 15, 30, 20, 10, and 15 </w:t>
      </w:r>
      <w:proofErr w:type="spellStart"/>
      <w:r w:rsidRPr="005A0CEC">
        <w:rPr>
          <w:rFonts w:ascii="Times New Roman" w:hAnsi="Times New Roman" w:cs="Times New Roman"/>
        </w:rPr>
        <w:t>ms</w:t>
      </w:r>
      <w:proofErr w:type="spellEnd"/>
      <w:r w:rsidRPr="005A0CEC">
        <w:rPr>
          <w:rFonts w:ascii="Times New Roman" w:hAnsi="Times New Roman" w:cs="Times New Roman"/>
        </w:rPr>
        <w:t xml:space="preserve"> respectively, resulting in a total sweep time of 0.134 seconds. Data reduction in Iolite followed the method of Paton et al. (2010), involving subtraction of an ‘on-peak’ gas blank and correction for laser-induced elemental fractionation (LIEF) by comparison with the </w:t>
      </w:r>
      <w:proofErr w:type="spellStart"/>
      <w:r w:rsidRPr="005A0CEC">
        <w:rPr>
          <w:rFonts w:ascii="Times New Roman" w:hAnsi="Times New Roman" w:cs="Times New Roman"/>
        </w:rPr>
        <w:t>behavior</w:t>
      </w:r>
      <w:proofErr w:type="spellEnd"/>
      <w:r w:rsidRPr="005A0CEC">
        <w:rPr>
          <w:rFonts w:ascii="Times New Roman" w:hAnsi="Times New Roman" w:cs="Times New Roman"/>
        </w:rPr>
        <w:t xml:space="preserve"> of the </w:t>
      </w:r>
      <w:proofErr w:type="gramStart"/>
      <w:r w:rsidRPr="005A0CEC">
        <w:rPr>
          <w:rFonts w:ascii="Times New Roman" w:hAnsi="Times New Roman" w:cs="Times New Roman"/>
        </w:rPr>
        <w:t>91500 reference</w:t>
      </w:r>
      <w:proofErr w:type="gramEnd"/>
      <w:r w:rsidRPr="005A0CEC">
        <w:rPr>
          <w:rFonts w:ascii="Times New Roman" w:hAnsi="Times New Roman" w:cs="Times New Roman"/>
        </w:rPr>
        <w:t xml:space="preserve"> zircon (</w:t>
      </w:r>
      <w:proofErr w:type="spellStart"/>
      <w:r w:rsidRPr="005A0CEC">
        <w:rPr>
          <w:rFonts w:ascii="Times New Roman" w:hAnsi="Times New Roman" w:cs="Times New Roman"/>
        </w:rPr>
        <w:t>Wiedenbeck</w:t>
      </w:r>
      <w:proofErr w:type="spellEnd"/>
      <w:r w:rsidRPr="005A0CEC">
        <w:rPr>
          <w:rFonts w:ascii="Times New Roman" w:hAnsi="Times New Roman" w:cs="Times New Roman"/>
        </w:rPr>
        <w:t xml:space="preserve"> et al., 1995). This correction was validated by analyses of zircon standards GJ-1 (~609 Ma; Jackson et al., 2004) and </w:t>
      </w:r>
      <w:proofErr w:type="spellStart"/>
      <w:r w:rsidRPr="005A0CEC">
        <w:rPr>
          <w:rFonts w:ascii="Times New Roman" w:hAnsi="Times New Roman" w:cs="Times New Roman"/>
        </w:rPr>
        <w:t>Plešovice</w:t>
      </w:r>
      <w:proofErr w:type="spellEnd"/>
      <w:r w:rsidRPr="005A0CEC">
        <w:rPr>
          <w:rFonts w:ascii="Times New Roman" w:hAnsi="Times New Roman" w:cs="Times New Roman"/>
        </w:rPr>
        <w:t xml:space="preserve"> (~337 Ma; </w:t>
      </w:r>
      <w:proofErr w:type="spellStart"/>
      <w:r w:rsidRPr="005A0CEC">
        <w:rPr>
          <w:rFonts w:ascii="Times New Roman" w:hAnsi="Times New Roman" w:cs="Times New Roman"/>
        </w:rPr>
        <w:t>Sláma</w:t>
      </w:r>
      <w:proofErr w:type="spellEnd"/>
      <w:r w:rsidRPr="005A0CEC">
        <w:rPr>
          <w:rFonts w:ascii="Times New Roman" w:hAnsi="Times New Roman" w:cs="Times New Roman"/>
        </w:rPr>
        <w:t xml:space="preserve"> et al., 2008). U–Pb isotopic data were acquired across multiple non-consecutive analytical sessions; full reporting of standards data for each session is provided in </w:t>
      </w:r>
      <w:r w:rsidR="00A05379">
        <w:rPr>
          <w:rFonts w:ascii="Times New Roman" w:hAnsi="Times New Roman" w:cs="Times New Roman"/>
        </w:rPr>
        <w:t>Section S2</w:t>
      </w:r>
      <w:r w:rsidRPr="005A0CEC">
        <w:rPr>
          <w:rFonts w:ascii="Times New Roman" w:hAnsi="Times New Roman" w:cs="Times New Roman"/>
        </w:rPr>
        <w:t>.</w:t>
      </w:r>
    </w:p>
    <w:p w:rsidR="005A0CEC" w:rsidRPr="005A0CEC" w:rsidRDefault="005A0CEC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5A0CEC">
        <w:rPr>
          <w:rFonts w:ascii="Times New Roman" w:hAnsi="Times New Roman" w:cs="Times New Roman"/>
        </w:rPr>
        <w:t xml:space="preserve">Samples UD14 and UD17 were measured using a Nu </w:t>
      </w:r>
      <w:proofErr w:type="spellStart"/>
      <w:r w:rsidRPr="005A0CEC">
        <w:rPr>
          <w:rFonts w:ascii="Times New Roman" w:hAnsi="Times New Roman" w:cs="Times New Roman"/>
        </w:rPr>
        <w:t>AttoM</w:t>
      </w:r>
      <w:proofErr w:type="spellEnd"/>
      <w:r w:rsidRPr="005A0CEC">
        <w:rPr>
          <w:rFonts w:ascii="Times New Roman" w:hAnsi="Times New Roman" w:cs="Times New Roman"/>
        </w:rPr>
        <w:t xml:space="preserve"> high resolution ICP-MS coupled to a 193 nm </w:t>
      </w:r>
      <w:proofErr w:type="spellStart"/>
      <w:r w:rsidRPr="005A0CEC">
        <w:rPr>
          <w:rFonts w:ascii="Times New Roman" w:hAnsi="Times New Roman" w:cs="Times New Roman"/>
        </w:rPr>
        <w:t>ArF</w:t>
      </w:r>
      <w:proofErr w:type="spellEnd"/>
      <w:r w:rsidRPr="005A0CEC">
        <w:rPr>
          <w:rFonts w:ascii="Times New Roman" w:hAnsi="Times New Roman" w:cs="Times New Roman"/>
        </w:rPr>
        <w:t xml:space="preserve"> excimer laser (</w:t>
      </w:r>
      <w:proofErr w:type="spellStart"/>
      <w:r w:rsidRPr="005A0CEC">
        <w:rPr>
          <w:rFonts w:ascii="Times New Roman" w:hAnsi="Times New Roman" w:cs="Times New Roman"/>
        </w:rPr>
        <w:t>Resonetics</w:t>
      </w:r>
      <w:proofErr w:type="spellEnd"/>
      <w:r w:rsidRPr="005A0CEC">
        <w:rPr>
          <w:rFonts w:ascii="Times New Roman" w:hAnsi="Times New Roman" w:cs="Times New Roman"/>
        </w:rPr>
        <w:t xml:space="preserve"> </w:t>
      </w:r>
      <w:proofErr w:type="spellStart"/>
      <w:r w:rsidRPr="005A0CEC">
        <w:rPr>
          <w:rFonts w:ascii="Times New Roman" w:hAnsi="Times New Roman" w:cs="Times New Roman"/>
        </w:rPr>
        <w:t>RESOlution</w:t>
      </w:r>
      <w:proofErr w:type="spellEnd"/>
      <w:r w:rsidRPr="005A0CEC">
        <w:rPr>
          <w:rFonts w:ascii="Times New Roman" w:hAnsi="Times New Roman" w:cs="Times New Roman"/>
        </w:rPr>
        <w:t xml:space="preserve"> M-50 LR) at the University of Bergen, Norway. The laser was fired at 5 Hz and energy of 80 </w:t>
      </w:r>
      <w:proofErr w:type="spellStart"/>
      <w:r w:rsidRPr="005A0CEC">
        <w:rPr>
          <w:rFonts w:ascii="Times New Roman" w:hAnsi="Times New Roman" w:cs="Times New Roman"/>
        </w:rPr>
        <w:t>mJ</w:t>
      </w:r>
      <w:proofErr w:type="spellEnd"/>
      <w:r w:rsidRPr="005A0CEC">
        <w:rPr>
          <w:rFonts w:ascii="Times New Roman" w:hAnsi="Times New Roman" w:cs="Times New Roman"/>
        </w:rPr>
        <w:t xml:space="preserve"> with </w:t>
      </w:r>
      <w:proofErr w:type="gramStart"/>
      <w:r w:rsidRPr="005A0CEC">
        <w:rPr>
          <w:rFonts w:ascii="Times New Roman" w:hAnsi="Times New Roman" w:cs="Times New Roman"/>
        </w:rPr>
        <w:t>19 micron</w:t>
      </w:r>
      <w:proofErr w:type="gramEnd"/>
      <w:r w:rsidRPr="005A0CEC">
        <w:rPr>
          <w:rFonts w:ascii="Times New Roman" w:hAnsi="Times New Roman" w:cs="Times New Roman"/>
        </w:rPr>
        <w:t xml:space="preserve"> spot size. The measurement of blank (15 s) was followed by collection of U Th and Pb signals from the ablated zircon for another 30 seconds. The data were acquired in time resolved – peak jumping – pulse counting mode with 1 point measured per peak for masses </w:t>
      </w:r>
      <w:r w:rsidRPr="005A0CEC">
        <w:rPr>
          <w:rFonts w:ascii="Times New Roman" w:hAnsi="Times New Roman" w:cs="Times New Roman"/>
          <w:vertAlign w:val="superscript"/>
        </w:rPr>
        <w:t>204</w:t>
      </w:r>
      <w:r w:rsidRPr="005A0CEC">
        <w:rPr>
          <w:rFonts w:ascii="Times New Roman" w:hAnsi="Times New Roman" w:cs="Times New Roman"/>
        </w:rPr>
        <w:t xml:space="preserve">Pb + Hg, </w:t>
      </w:r>
      <w:r w:rsidRPr="005A0CEC">
        <w:rPr>
          <w:rFonts w:ascii="Times New Roman" w:hAnsi="Times New Roman" w:cs="Times New Roman"/>
          <w:vertAlign w:val="superscript"/>
        </w:rPr>
        <w:t>206</w:t>
      </w:r>
      <w:r w:rsidRPr="005A0CEC">
        <w:rPr>
          <w:rFonts w:ascii="Times New Roman" w:hAnsi="Times New Roman" w:cs="Times New Roman"/>
        </w:rPr>
        <w:t xml:space="preserve">Pb, </w:t>
      </w:r>
      <w:r w:rsidRPr="005A0CEC">
        <w:rPr>
          <w:rFonts w:ascii="Times New Roman" w:hAnsi="Times New Roman" w:cs="Times New Roman"/>
          <w:vertAlign w:val="superscript"/>
        </w:rPr>
        <w:t>207</w:t>
      </w:r>
      <w:r w:rsidRPr="005A0CEC">
        <w:rPr>
          <w:rFonts w:ascii="Times New Roman" w:hAnsi="Times New Roman" w:cs="Times New Roman"/>
        </w:rPr>
        <w:t xml:space="preserve">Pb, </w:t>
      </w:r>
      <w:r w:rsidRPr="005A0CEC">
        <w:rPr>
          <w:rFonts w:ascii="Times New Roman" w:hAnsi="Times New Roman" w:cs="Times New Roman"/>
          <w:vertAlign w:val="superscript"/>
        </w:rPr>
        <w:t>208</w:t>
      </w:r>
      <w:r w:rsidRPr="005A0CEC">
        <w:rPr>
          <w:rFonts w:ascii="Times New Roman" w:hAnsi="Times New Roman" w:cs="Times New Roman"/>
        </w:rPr>
        <w:t xml:space="preserve">Pb, </w:t>
      </w:r>
      <w:r w:rsidRPr="005A0CEC">
        <w:rPr>
          <w:rFonts w:ascii="Times New Roman" w:hAnsi="Times New Roman" w:cs="Times New Roman"/>
          <w:vertAlign w:val="superscript"/>
        </w:rPr>
        <w:t>232</w:t>
      </w:r>
      <w:r w:rsidRPr="005A0CEC">
        <w:rPr>
          <w:rFonts w:ascii="Times New Roman" w:hAnsi="Times New Roman" w:cs="Times New Roman"/>
        </w:rPr>
        <w:t xml:space="preserve">Th, </w:t>
      </w:r>
      <w:r w:rsidRPr="005A0CEC">
        <w:rPr>
          <w:rFonts w:ascii="Times New Roman" w:hAnsi="Times New Roman" w:cs="Times New Roman"/>
          <w:vertAlign w:val="superscript"/>
        </w:rPr>
        <w:t>235</w:t>
      </w:r>
      <w:r w:rsidRPr="005A0CEC">
        <w:rPr>
          <w:rFonts w:ascii="Times New Roman" w:hAnsi="Times New Roman" w:cs="Times New Roman"/>
        </w:rPr>
        <w:t xml:space="preserve">U, and </w:t>
      </w:r>
      <w:r w:rsidRPr="005A0CEC">
        <w:rPr>
          <w:rFonts w:ascii="Times New Roman" w:hAnsi="Times New Roman" w:cs="Times New Roman"/>
          <w:vertAlign w:val="superscript"/>
        </w:rPr>
        <w:t>238</w:t>
      </w:r>
      <w:r w:rsidRPr="005A0CEC">
        <w:rPr>
          <w:rFonts w:ascii="Times New Roman" w:hAnsi="Times New Roman" w:cs="Times New Roman"/>
        </w:rPr>
        <w:t xml:space="preserve">U. Due to a non-linear transition between the counting and attenuated (= </w:t>
      </w:r>
      <w:proofErr w:type="spellStart"/>
      <w:r w:rsidRPr="005A0CEC">
        <w:rPr>
          <w:rFonts w:ascii="Times New Roman" w:hAnsi="Times New Roman" w:cs="Times New Roman"/>
        </w:rPr>
        <w:t>analog</w:t>
      </w:r>
      <w:proofErr w:type="spellEnd"/>
      <w:r w:rsidRPr="005A0CEC">
        <w:rPr>
          <w:rFonts w:ascii="Times New Roman" w:hAnsi="Times New Roman" w:cs="Times New Roman"/>
        </w:rPr>
        <w:t xml:space="preserve">) acquisition modes of the ICP instrument, the raw data were pre-processed using a purpose-made Excel macro. As a result, the intensities of </w:t>
      </w:r>
      <w:r w:rsidRPr="005A0CEC">
        <w:rPr>
          <w:rFonts w:ascii="Times New Roman" w:hAnsi="Times New Roman" w:cs="Times New Roman"/>
          <w:vertAlign w:val="superscript"/>
        </w:rPr>
        <w:t>238</w:t>
      </w:r>
      <w:r w:rsidRPr="005A0CEC">
        <w:rPr>
          <w:rFonts w:ascii="Times New Roman" w:hAnsi="Times New Roman" w:cs="Times New Roman"/>
        </w:rPr>
        <w:t xml:space="preserve">U are left unchanged if measured in a counting mode and recalculated from </w:t>
      </w:r>
      <w:r w:rsidRPr="005A0CEC">
        <w:rPr>
          <w:rFonts w:ascii="Times New Roman" w:hAnsi="Times New Roman" w:cs="Times New Roman"/>
          <w:vertAlign w:val="superscript"/>
        </w:rPr>
        <w:t>235</w:t>
      </w:r>
      <w:r w:rsidRPr="005A0CEC">
        <w:rPr>
          <w:rFonts w:ascii="Times New Roman" w:hAnsi="Times New Roman" w:cs="Times New Roman"/>
        </w:rPr>
        <w:t xml:space="preserve">U intensities if the </w:t>
      </w:r>
      <w:r w:rsidRPr="005A0CEC">
        <w:rPr>
          <w:rFonts w:ascii="Times New Roman" w:hAnsi="Times New Roman" w:cs="Times New Roman"/>
          <w:vertAlign w:val="superscript"/>
        </w:rPr>
        <w:t>238</w:t>
      </w:r>
      <w:r w:rsidRPr="005A0CEC">
        <w:rPr>
          <w:rFonts w:ascii="Times New Roman" w:hAnsi="Times New Roman" w:cs="Times New Roman"/>
        </w:rPr>
        <w:t xml:space="preserve">U was acquired in an attenuated mode. Data reduction was carried out off-line using the Iolite data reduction package version 3.0 with </w:t>
      </w:r>
      <w:proofErr w:type="spellStart"/>
      <w:r w:rsidRPr="005A0CEC">
        <w:rPr>
          <w:rFonts w:ascii="Times New Roman" w:hAnsi="Times New Roman" w:cs="Times New Roman"/>
        </w:rPr>
        <w:t>VizualAge</w:t>
      </w:r>
      <w:proofErr w:type="spellEnd"/>
      <w:r w:rsidRPr="005A0CEC">
        <w:rPr>
          <w:rFonts w:ascii="Times New Roman" w:hAnsi="Times New Roman" w:cs="Times New Roman"/>
        </w:rPr>
        <w:t xml:space="preserve"> utility (Petrus and </w:t>
      </w:r>
      <w:proofErr w:type="spellStart"/>
      <w:r w:rsidRPr="005A0CEC">
        <w:rPr>
          <w:rFonts w:ascii="Times New Roman" w:hAnsi="Times New Roman" w:cs="Times New Roman"/>
        </w:rPr>
        <w:t>Kamber</w:t>
      </w:r>
      <w:proofErr w:type="spellEnd"/>
      <w:r w:rsidRPr="005A0CEC">
        <w:rPr>
          <w:rFonts w:ascii="Times New Roman" w:hAnsi="Times New Roman" w:cs="Times New Roman"/>
        </w:rPr>
        <w:t xml:space="preserve">, 2012). Full details of the data reduction methodology can be found in Paton et al. (2010). The data reduction included correction for gas blank, laser-induced elemental fractionation of Pb and U and instrument mass bias. For the data presented here, blank intensities and instrumental bias were interpolated using an automatic spline function while down-hole inter-element fractionation was corrected using an exponential function. No common Pb correction was applied to the data but the low concentrations of common Pb were controlled by observing 206Pb/204Pb ratio during measurements. Residual elemental fractionation and instrumental mass bias were corrected by normalization to the natural zircon reference </w:t>
      </w:r>
      <w:r w:rsidRPr="005A0CEC">
        <w:rPr>
          <w:rFonts w:ascii="Times New Roman" w:hAnsi="Times New Roman" w:cs="Times New Roman"/>
        </w:rPr>
        <w:lastRenderedPageBreak/>
        <w:t xml:space="preserve">material GJ-1 (Jackson et al., 2004). Zircon reference materials </w:t>
      </w:r>
      <w:proofErr w:type="spellStart"/>
      <w:r w:rsidRPr="005A0CEC">
        <w:rPr>
          <w:rFonts w:ascii="Times New Roman" w:hAnsi="Times New Roman" w:cs="Times New Roman"/>
        </w:rPr>
        <w:t>Plešovice</w:t>
      </w:r>
      <w:proofErr w:type="spellEnd"/>
      <w:r w:rsidRPr="005A0CEC">
        <w:rPr>
          <w:rFonts w:ascii="Times New Roman" w:hAnsi="Times New Roman" w:cs="Times New Roman"/>
        </w:rPr>
        <w:t xml:space="preserve"> (</w:t>
      </w:r>
      <w:proofErr w:type="spellStart"/>
      <w:r w:rsidRPr="005A0CEC">
        <w:rPr>
          <w:rFonts w:ascii="Times New Roman" w:hAnsi="Times New Roman" w:cs="Times New Roman"/>
        </w:rPr>
        <w:t>Sláma</w:t>
      </w:r>
      <w:proofErr w:type="spellEnd"/>
      <w:r w:rsidRPr="005A0CEC">
        <w:rPr>
          <w:rFonts w:ascii="Times New Roman" w:hAnsi="Times New Roman" w:cs="Times New Roman"/>
        </w:rPr>
        <w:t xml:space="preserve"> et al., 2008) and 91500 (</w:t>
      </w:r>
      <w:proofErr w:type="spellStart"/>
      <w:r w:rsidRPr="005A0CEC">
        <w:rPr>
          <w:rFonts w:ascii="Times New Roman" w:hAnsi="Times New Roman" w:cs="Times New Roman"/>
        </w:rPr>
        <w:t>Wiedenbeck</w:t>
      </w:r>
      <w:proofErr w:type="spellEnd"/>
      <w:r w:rsidRPr="005A0CEC">
        <w:rPr>
          <w:rFonts w:ascii="Times New Roman" w:hAnsi="Times New Roman" w:cs="Times New Roman"/>
        </w:rPr>
        <w:t xml:space="preserve"> et al., 1995) were periodically analysed during the measurement for quality control.</w:t>
      </w:r>
    </w:p>
    <w:p w:rsidR="005A0CEC" w:rsidRPr="005A0CEC" w:rsidRDefault="005A0CEC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5A0CEC">
        <w:rPr>
          <w:rFonts w:ascii="Times New Roman" w:hAnsi="Times New Roman" w:cs="Times New Roman"/>
        </w:rPr>
        <w:t xml:space="preserve">Hf isotopic data were acquired from selected samples representing different stratigraphic levels. Hf analysis targeted zircon domains that yielded concordant U-Pb ages and could accommodate a larger laser spot size of 40–45 </w:t>
      </w:r>
      <w:proofErr w:type="spellStart"/>
      <w:r w:rsidRPr="005A0CEC">
        <w:rPr>
          <w:rFonts w:ascii="Times New Roman" w:hAnsi="Times New Roman" w:cs="Times New Roman"/>
        </w:rPr>
        <w:t>μm</w:t>
      </w:r>
      <w:proofErr w:type="spellEnd"/>
      <w:r w:rsidRPr="005A0CEC">
        <w:rPr>
          <w:rFonts w:ascii="Times New Roman" w:hAnsi="Times New Roman" w:cs="Times New Roman"/>
        </w:rPr>
        <w:t xml:space="preserve">. The Hf data were obtained in two consecutive analytical sessions following the procedure described by </w:t>
      </w:r>
      <w:proofErr w:type="spellStart"/>
      <w:r w:rsidRPr="005A0CEC">
        <w:rPr>
          <w:rFonts w:ascii="Times New Roman" w:hAnsi="Times New Roman" w:cs="Times New Roman"/>
        </w:rPr>
        <w:t>Soejono</w:t>
      </w:r>
      <w:proofErr w:type="spellEnd"/>
      <w:r w:rsidRPr="005A0CEC">
        <w:rPr>
          <w:rFonts w:ascii="Times New Roman" w:hAnsi="Times New Roman" w:cs="Times New Roman"/>
        </w:rPr>
        <w:t xml:space="preserve"> et al. (2022). Hf isotopes were </w:t>
      </w:r>
      <w:proofErr w:type="spellStart"/>
      <w:r w:rsidRPr="005A0CEC">
        <w:rPr>
          <w:rFonts w:ascii="Times New Roman" w:hAnsi="Times New Roman" w:cs="Times New Roman"/>
        </w:rPr>
        <w:t>analyzed</w:t>
      </w:r>
      <w:proofErr w:type="spellEnd"/>
      <w:r w:rsidRPr="005A0CEC">
        <w:rPr>
          <w:rFonts w:ascii="Times New Roman" w:hAnsi="Times New Roman" w:cs="Times New Roman"/>
        </w:rPr>
        <w:t xml:space="preserve"> using the same Photon Machines Analyte Excite 193 nm excimer laser system with a two-volume </w:t>
      </w:r>
      <w:proofErr w:type="spellStart"/>
      <w:r w:rsidRPr="005A0CEC">
        <w:rPr>
          <w:rFonts w:ascii="Times New Roman" w:hAnsi="Times New Roman" w:cs="Times New Roman"/>
        </w:rPr>
        <w:t>HelEx</w:t>
      </w:r>
      <w:proofErr w:type="spellEnd"/>
      <w:r w:rsidRPr="005A0CEC">
        <w:rPr>
          <w:rFonts w:ascii="Times New Roman" w:hAnsi="Times New Roman" w:cs="Times New Roman"/>
        </w:rPr>
        <w:t xml:space="preserve"> ablation cell, connected to a Thermo-Finnigan Neptune MC ICP-MS equipped with eight movable Faraday collectors (L4, L3, L2, L1, H1, H2, H3, H4) and one fixed </w:t>
      </w:r>
      <w:proofErr w:type="spellStart"/>
      <w:r w:rsidRPr="005A0CEC">
        <w:rPr>
          <w:rFonts w:ascii="Times New Roman" w:hAnsi="Times New Roman" w:cs="Times New Roman"/>
        </w:rPr>
        <w:t>center</w:t>
      </w:r>
      <w:proofErr w:type="spellEnd"/>
      <w:r w:rsidRPr="005A0CEC">
        <w:rPr>
          <w:rFonts w:ascii="Times New Roman" w:hAnsi="Times New Roman" w:cs="Times New Roman"/>
        </w:rPr>
        <w:t xml:space="preserve"> collector (C). Measurements were conducted in static multi-collection, low mass resolution mode. Samples were ablated in a helium atmosphere (0.8 L/min) with a laser energy of 9.42 J/cm², beam diameter of 40 </w:t>
      </w:r>
      <w:proofErr w:type="spellStart"/>
      <w:r w:rsidRPr="005A0CEC">
        <w:rPr>
          <w:rFonts w:ascii="Times New Roman" w:hAnsi="Times New Roman" w:cs="Times New Roman"/>
        </w:rPr>
        <w:t>μm</w:t>
      </w:r>
      <w:proofErr w:type="spellEnd"/>
      <w:r w:rsidRPr="005A0CEC">
        <w:rPr>
          <w:rFonts w:ascii="Times New Roman" w:hAnsi="Times New Roman" w:cs="Times New Roman"/>
        </w:rPr>
        <w:t>, and repetition rate of 10 Hz. Each measurement included 20 seconds of blank acquisition followed by 40 seconds of ablation.</w:t>
      </w:r>
    </w:p>
    <w:p w:rsidR="005A0CEC" w:rsidRPr="005A0CEC" w:rsidRDefault="005A0CEC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5A0CEC">
        <w:rPr>
          <w:rFonts w:ascii="Times New Roman" w:hAnsi="Times New Roman" w:cs="Times New Roman"/>
        </w:rPr>
        <w:t xml:space="preserve">The Faraday cup configuration allowed simultaneous detection of all Hf isotopes as well as potential isobaric interferences: L4 – </w:t>
      </w:r>
      <w:r w:rsidRPr="005A0CEC">
        <w:rPr>
          <w:rFonts w:ascii="Times New Roman" w:hAnsi="Times New Roman" w:cs="Times New Roman"/>
          <w:vertAlign w:val="superscript"/>
        </w:rPr>
        <w:t>171</w:t>
      </w:r>
      <w:r w:rsidRPr="005A0CEC">
        <w:rPr>
          <w:rFonts w:ascii="Times New Roman" w:hAnsi="Times New Roman" w:cs="Times New Roman"/>
        </w:rPr>
        <w:t xml:space="preserve">Yb, L3 – </w:t>
      </w:r>
      <w:r w:rsidRPr="005A0CEC">
        <w:rPr>
          <w:rFonts w:ascii="Times New Roman" w:hAnsi="Times New Roman" w:cs="Times New Roman"/>
          <w:vertAlign w:val="superscript"/>
        </w:rPr>
        <w:t>173</w:t>
      </w:r>
      <w:r w:rsidRPr="005A0CEC">
        <w:rPr>
          <w:rFonts w:ascii="Times New Roman" w:hAnsi="Times New Roman" w:cs="Times New Roman"/>
        </w:rPr>
        <w:t xml:space="preserve">Yb, L2 – </w:t>
      </w:r>
      <w:r w:rsidRPr="005A0CEC">
        <w:rPr>
          <w:rFonts w:ascii="Times New Roman" w:hAnsi="Times New Roman" w:cs="Times New Roman"/>
          <w:vertAlign w:val="superscript"/>
        </w:rPr>
        <w:t>175</w:t>
      </w:r>
      <w:r w:rsidRPr="005A0CEC">
        <w:rPr>
          <w:rFonts w:ascii="Times New Roman" w:hAnsi="Times New Roman" w:cs="Times New Roman"/>
        </w:rPr>
        <w:t>Lu, L1 –</w:t>
      </w:r>
      <w:r w:rsidRPr="005A0CEC">
        <w:rPr>
          <w:rFonts w:ascii="Times New Roman" w:hAnsi="Times New Roman" w:cs="Times New Roman"/>
          <w:vertAlign w:val="superscript"/>
        </w:rPr>
        <w:t>176</w:t>
      </w:r>
      <w:r w:rsidRPr="005A0CEC">
        <w:rPr>
          <w:rFonts w:ascii="Times New Roman" w:hAnsi="Times New Roman" w:cs="Times New Roman"/>
        </w:rPr>
        <w:t xml:space="preserve">Hf, C – </w:t>
      </w:r>
      <w:r w:rsidRPr="005A0CEC">
        <w:rPr>
          <w:rFonts w:ascii="Times New Roman" w:hAnsi="Times New Roman" w:cs="Times New Roman"/>
          <w:vertAlign w:val="superscript"/>
        </w:rPr>
        <w:t>177</w:t>
      </w:r>
      <w:r w:rsidRPr="005A0CEC">
        <w:rPr>
          <w:rFonts w:ascii="Times New Roman" w:hAnsi="Times New Roman" w:cs="Times New Roman"/>
        </w:rPr>
        <w:t xml:space="preserve">Hf, H1 – </w:t>
      </w:r>
      <w:r w:rsidRPr="005A0CEC">
        <w:rPr>
          <w:rFonts w:ascii="Times New Roman" w:hAnsi="Times New Roman" w:cs="Times New Roman"/>
          <w:vertAlign w:val="superscript"/>
        </w:rPr>
        <w:t>178</w:t>
      </w:r>
      <w:r w:rsidRPr="005A0CEC">
        <w:rPr>
          <w:rFonts w:ascii="Times New Roman" w:hAnsi="Times New Roman" w:cs="Times New Roman"/>
        </w:rPr>
        <w:t xml:space="preserve">Hf, H2 – </w:t>
      </w:r>
      <w:r w:rsidRPr="005A0CEC">
        <w:rPr>
          <w:rFonts w:ascii="Times New Roman" w:hAnsi="Times New Roman" w:cs="Times New Roman"/>
          <w:vertAlign w:val="superscript"/>
        </w:rPr>
        <w:t>179</w:t>
      </w:r>
      <w:r w:rsidRPr="005A0CEC">
        <w:rPr>
          <w:rFonts w:ascii="Times New Roman" w:hAnsi="Times New Roman" w:cs="Times New Roman"/>
        </w:rPr>
        <w:t xml:space="preserve">Hf, and H3 – </w:t>
      </w:r>
      <w:r w:rsidRPr="005A0CEC">
        <w:rPr>
          <w:rFonts w:ascii="Times New Roman" w:hAnsi="Times New Roman" w:cs="Times New Roman"/>
          <w:vertAlign w:val="superscript"/>
        </w:rPr>
        <w:t>180</w:t>
      </w:r>
      <w:r w:rsidRPr="005A0CEC">
        <w:rPr>
          <w:rFonts w:ascii="Times New Roman" w:hAnsi="Times New Roman" w:cs="Times New Roman"/>
        </w:rPr>
        <w:t xml:space="preserve">Hf. Data were corrected for gas blanks and isobaric interferences of </w:t>
      </w:r>
      <w:proofErr w:type="spellStart"/>
      <w:r w:rsidRPr="005A0CEC">
        <w:rPr>
          <w:rFonts w:ascii="Times New Roman" w:hAnsi="Times New Roman" w:cs="Times New Roman"/>
        </w:rPr>
        <w:t>Yb</w:t>
      </w:r>
      <w:proofErr w:type="spellEnd"/>
      <w:r w:rsidRPr="005A0CEC">
        <w:rPr>
          <w:rFonts w:ascii="Times New Roman" w:hAnsi="Times New Roman" w:cs="Times New Roman"/>
        </w:rPr>
        <w:t xml:space="preserve"> and Lu on </w:t>
      </w:r>
      <w:r w:rsidRPr="005A0CEC">
        <w:rPr>
          <w:rFonts w:ascii="Times New Roman" w:hAnsi="Times New Roman" w:cs="Times New Roman"/>
          <w:vertAlign w:val="superscript"/>
        </w:rPr>
        <w:t>176</w:t>
      </w:r>
      <w:r w:rsidRPr="005A0CEC">
        <w:rPr>
          <w:rFonts w:ascii="Times New Roman" w:hAnsi="Times New Roman" w:cs="Times New Roman"/>
        </w:rPr>
        <w:t xml:space="preserve">Hf by monitoring interference-free isotopes </w:t>
      </w:r>
      <w:r w:rsidRPr="005A0CEC">
        <w:rPr>
          <w:rFonts w:ascii="Times New Roman" w:hAnsi="Times New Roman" w:cs="Times New Roman"/>
          <w:vertAlign w:val="superscript"/>
        </w:rPr>
        <w:t>171</w:t>
      </w:r>
      <w:r w:rsidRPr="005A0CEC">
        <w:rPr>
          <w:rFonts w:ascii="Times New Roman" w:hAnsi="Times New Roman" w:cs="Times New Roman"/>
        </w:rPr>
        <w:t xml:space="preserve">Yb, </w:t>
      </w:r>
      <w:r w:rsidRPr="005A0CEC">
        <w:rPr>
          <w:rFonts w:ascii="Times New Roman" w:hAnsi="Times New Roman" w:cs="Times New Roman"/>
          <w:vertAlign w:val="superscript"/>
        </w:rPr>
        <w:t>173</w:t>
      </w:r>
      <w:r w:rsidRPr="005A0CEC">
        <w:rPr>
          <w:rFonts w:ascii="Times New Roman" w:hAnsi="Times New Roman" w:cs="Times New Roman"/>
        </w:rPr>
        <w:t xml:space="preserve">Yb, and </w:t>
      </w:r>
      <w:r w:rsidRPr="005A0CEC">
        <w:rPr>
          <w:rFonts w:ascii="Times New Roman" w:hAnsi="Times New Roman" w:cs="Times New Roman"/>
          <w:vertAlign w:val="superscript"/>
        </w:rPr>
        <w:t>175</w:t>
      </w:r>
      <w:r w:rsidRPr="005A0CEC">
        <w:rPr>
          <w:rFonts w:ascii="Times New Roman" w:hAnsi="Times New Roman" w:cs="Times New Roman"/>
        </w:rPr>
        <w:t xml:space="preserve">Lu. The </w:t>
      </w:r>
      <w:r w:rsidRPr="005A0CEC">
        <w:rPr>
          <w:rFonts w:ascii="Times New Roman" w:hAnsi="Times New Roman" w:cs="Times New Roman"/>
          <w:vertAlign w:val="superscript"/>
        </w:rPr>
        <w:t>176</w:t>
      </w:r>
      <w:r w:rsidRPr="005A0CEC">
        <w:rPr>
          <w:rFonts w:ascii="Times New Roman" w:hAnsi="Times New Roman" w:cs="Times New Roman"/>
        </w:rPr>
        <w:t xml:space="preserve">Yb and </w:t>
      </w:r>
      <w:r w:rsidRPr="005A0CEC">
        <w:rPr>
          <w:rFonts w:ascii="Times New Roman" w:hAnsi="Times New Roman" w:cs="Times New Roman"/>
          <w:vertAlign w:val="superscript"/>
        </w:rPr>
        <w:t>176</w:t>
      </w:r>
      <w:r w:rsidRPr="005A0CEC">
        <w:rPr>
          <w:rFonts w:ascii="Times New Roman" w:hAnsi="Times New Roman" w:cs="Times New Roman"/>
        </w:rPr>
        <w:t xml:space="preserve">Lu contributions were calculated using isotopic abundances from Chu et al. (2002). Mass bias for </w:t>
      </w:r>
      <w:proofErr w:type="spellStart"/>
      <w:r w:rsidRPr="005A0CEC">
        <w:rPr>
          <w:rFonts w:ascii="Times New Roman" w:hAnsi="Times New Roman" w:cs="Times New Roman"/>
        </w:rPr>
        <w:t>Yb</w:t>
      </w:r>
      <w:proofErr w:type="spellEnd"/>
      <w:r w:rsidRPr="005A0CEC">
        <w:rPr>
          <w:rFonts w:ascii="Times New Roman" w:hAnsi="Times New Roman" w:cs="Times New Roman"/>
        </w:rPr>
        <w:t xml:space="preserve"> was corrected using a </w:t>
      </w:r>
      <w:r w:rsidRPr="005A0CEC">
        <w:rPr>
          <w:rFonts w:ascii="Times New Roman" w:hAnsi="Times New Roman" w:cs="Times New Roman"/>
          <w:vertAlign w:val="superscript"/>
        </w:rPr>
        <w:t>173</w:t>
      </w:r>
      <w:r w:rsidRPr="005A0CEC">
        <w:rPr>
          <w:rFonts w:ascii="Times New Roman" w:hAnsi="Times New Roman" w:cs="Times New Roman"/>
        </w:rPr>
        <w:t>Yb/</w:t>
      </w:r>
      <w:r w:rsidRPr="005A0CEC">
        <w:rPr>
          <w:rFonts w:ascii="Times New Roman" w:hAnsi="Times New Roman" w:cs="Times New Roman"/>
          <w:vertAlign w:val="superscript"/>
        </w:rPr>
        <w:t>171</w:t>
      </w:r>
      <w:r w:rsidRPr="005A0CEC">
        <w:rPr>
          <w:rFonts w:ascii="Times New Roman" w:hAnsi="Times New Roman" w:cs="Times New Roman"/>
        </w:rPr>
        <w:t xml:space="preserve">Yb normalization factor of 1.132685 (Chu et al., 2002). Instrumental mass bias for Hf was corrected based on measured </w:t>
      </w:r>
      <w:r w:rsidRPr="005A0CEC">
        <w:rPr>
          <w:rFonts w:ascii="Times New Roman" w:hAnsi="Times New Roman" w:cs="Times New Roman"/>
          <w:vertAlign w:val="superscript"/>
        </w:rPr>
        <w:t>179</w:t>
      </w:r>
      <w:r w:rsidRPr="005A0CEC">
        <w:rPr>
          <w:rFonts w:ascii="Times New Roman" w:hAnsi="Times New Roman" w:cs="Times New Roman"/>
        </w:rPr>
        <w:t xml:space="preserve">Hf and </w:t>
      </w:r>
      <w:r w:rsidRPr="005A0CEC">
        <w:rPr>
          <w:rFonts w:ascii="Times New Roman" w:hAnsi="Times New Roman" w:cs="Times New Roman"/>
          <w:vertAlign w:val="superscript"/>
        </w:rPr>
        <w:t>177</w:t>
      </w:r>
      <w:r w:rsidRPr="005A0CEC">
        <w:rPr>
          <w:rFonts w:ascii="Times New Roman" w:hAnsi="Times New Roman" w:cs="Times New Roman"/>
        </w:rPr>
        <w:t>Hf intensities and the natural ratio (</w:t>
      </w:r>
      <w:r w:rsidRPr="005A0CEC">
        <w:rPr>
          <w:rFonts w:ascii="Times New Roman" w:hAnsi="Times New Roman" w:cs="Times New Roman"/>
          <w:vertAlign w:val="superscript"/>
        </w:rPr>
        <w:t>179</w:t>
      </w:r>
      <w:r w:rsidRPr="005A0CEC">
        <w:rPr>
          <w:rFonts w:ascii="Times New Roman" w:hAnsi="Times New Roman" w:cs="Times New Roman"/>
        </w:rPr>
        <w:t>Hf/</w:t>
      </w:r>
      <w:r w:rsidRPr="005A0CEC">
        <w:rPr>
          <w:rFonts w:ascii="Times New Roman" w:hAnsi="Times New Roman" w:cs="Times New Roman"/>
          <w:vertAlign w:val="superscript"/>
        </w:rPr>
        <w:t>177</w:t>
      </w:r>
      <w:r w:rsidRPr="005A0CEC">
        <w:rPr>
          <w:rFonts w:ascii="Times New Roman" w:hAnsi="Times New Roman" w:cs="Times New Roman"/>
        </w:rPr>
        <w:t>Hf = 0.7325) using the exponential law (Chu et al., 2002). Data quality was monitored by periodic analyses of natural zircon reference samples 91500 (</w:t>
      </w:r>
      <w:proofErr w:type="spellStart"/>
      <w:r w:rsidRPr="005A0CEC">
        <w:rPr>
          <w:rFonts w:ascii="Times New Roman" w:hAnsi="Times New Roman" w:cs="Times New Roman"/>
        </w:rPr>
        <w:t>Wiedenbeck</w:t>
      </w:r>
      <w:proofErr w:type="spellEnd"/>
      <w:r w:rsidRPr="005A0CEC">
        <w:rPr>
          <w:rFonts w:ascii="Times New Roman" w:hAnsi="Times New Roman" w:cs="Times New Roman"/>
        </w:rPr>
        <w:t xml:space="preserve"> et al., 1995), GJ-1 (Jackson et al., 2004), and </w:t>
      </w:r>
      <w:proofErr w:type="spellStart"/>
      <w:r w:rsidRPr="005A0CEC">
        <w:rPr>
          <w:rFonts w:ascii="Times New Roman" w:hAnsi="Times New Roman" w:cs="Times New Roman"/>
        </w:rPr>
        <w:t>Plešovice</w:t>
      </w:r>
      <w:proofErr w:type="spellEnd"/>
      <w:r w:rsidRPr="005A0CEC">
        <w:rPr>
          <w:rFonts w:ascii="Times New Roman" w:hAnsi="Times New Roman" w:cs="Times New Roman"/>
        </w:rPr>
        <w:t xml:space="preserve"> (</w:t>
      </w:r>
      <w:proofErr w:type="spellStart"/>
      <w:r w:rsidRPr="005A0CEC">
        <w:rPr>
          <w:rFonts w:ascii="Times New Roman" w:hAnsi="Times New Roman" w:cs="Times New Roman"/>
        </w:rPr>
        <w:t>Sláma</w:t>
      </w:r>
      <w:proofErr w:type="spellEnd"/>
      <w:r w:rsidRPr="005A0CEC">
        <w:rPr>
          <w:rFonts w:ascii="Times New Roman" w:hAnsi="Times New Roman" w:cs="Times New Roman"/>
        </w:rPr>
        <w:t xml:space="preserve"> et al., 2008b). Multiple laser ablation MC ICP-MS analyses of these standards yielded </w:t>
      </w:r>
      <w:r w:rsidRPr="005A0CEC">
        <w:rPr>
          <w:rFonts w:ascii="Times New Roman" w:hAnsi="Times New Roman" w:cs="Times New Roman"/>
          <w:vertAlign w:val="superscript"/>
        </w:rPr>
        <w:t>176</w:t>
      </w:r>
      <w:r w:rsidRPr="005A0CEC">
        <w:rPr>
          <w:rFonts w:ascii="Times New Roman" w:hAnsi="Times New Roman" w:cs="Times New Roman"/>
        </w:rPr>
        <w:t>Hf/</w:t>
      </w:r>
      <w:r w:rsidRPr="005A0CEC">
        <w:rPr>
          <w:rFonts w:ascii="Times New Roman" w:hAnsi="Times New Roman" w:cs="Times New Roman"/>
          <w:vertAlign w:val="superscript"/>
        </w:rPr>
        <w:t>177</w:t>
      </w:r>
      <w:r w:rsidRPr="005A0CEC">
        <w:rPr>
          <w:rFonts w:ascii="Times New Roman" w:hAnsi="Times New Roman" w:cs="Times New Roman"/>
        </w:rPr>
        <w:t xml:space="preserve">Hf ratios of 0.282231 ± 0.000043 (2σ), 0.281931 ± 0.000037 (2σ), and 0.282409 ± 0.000023 (2σ), respectively. Complete reference data are provided in the </w:t>
      </w:r>
      <w:r w:rsidR="00A05379">
        <w:rPr>
          <w:rFonts w:ascii="Times New Roman" w:hAnsi="Times New Roman" w:cs="Times New Roman"/>
        </w:rPr>
        <w:t>Section S2</w:t>
      </w:r>
      <w:bookmarkStart w:id="0" w:name="_GoBack"/>
      <w:bookmarkEnd w:id="0"/>
      <w:r w:rsidRPr="005A0CEC">
        <w:rPr>
          <w:rFonts w:ascii="Times New Roman" w:hAnsi="Times New Roman" w:cs="Times New Roman"/>
        </w:rPr>
        <w:t>.</w:t>
      </w:r>
    </w:p>
    <w:p w:rsidR="005A0CEC" w:rsidRDefault="005A0CEC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5A0CEC">
        <w:rPr>
          <w:rFonts w:ascii="Times New Roman" w:hAnsi="Times New Roman" w:cs="Times New Roman"/>
        </w:rPr>
        <w:t xml:space="preserve">The values used for Hf isotopic calculations were as follows: chondritic uniform reservoir (CHUR), with </w:t>
      </w:r>
      <w:r w:rsidRPr="005A0CEC">
        <w:rPr>
          <w:rFonts w:ascii="Times New Roman" w:hAnsi="Times New Roman" w:cs="Times New Roman"/>
          <w:vertAlign w:val="superscript"/>
        </w:rPr>
        <w:t>176</w:t>
      </w:r>
      <w:r w:rsidRPr="005A0CEC">
        <w:rPr>
          <w:rFonts w:ascii="Times New Roman" w:hAnsi="Times New Roman" w:cs="Times New Roman"/>
        </w:rPr>
        <w:t>Lu/</w:t>
      </w:r>
      <w:r w:rsidRPr="005A0CEC">
        <w:rPr>
          <w:rFonts w:ascii="Times New Roman" w:hAnsi="Times New Roman" w:cs="Times New Roman"/>
          <w:vertAlign w:val="superscript"/>
        </w:rPr>
        <w:t>177</w:t>
      </w:r>
      <w:r w:rsidRPr="005A0CEC">
        <w:rPr>
          <w:rFonts w:ascii="Times New Roman" w:hAnsi="Times New Roman" w:cs="Times New Roman"/>
        </w:rPr>
        <w:t xml:space="preserve">Hf = 0.0332 and </w:t>
      </w:r>
      <w:r w:rsidRPr="005A0CEC">
        <w:rPr>
          <w:rFonts w:ascii="Times New Roman" w:hAnsi="Times New Roman" w:cs="Times New Roman"/>
          <w:vertAlign w:val="superscript"/>
        </w:rPr>
        <w:t>176</w:t>
      </w:r>
      <w:r w:rsidRPr="005A0CEC">
        <w:rPr>
          <w:rFonts w:ascii="Times New Roman" w:hAnsi="Times New Roman" w:cs="Times New Roman"/>
        </w:rPr>
        <w:t>Hf/</w:t>
      </w:r>
      <w:r w:rsidRPr="005A0CEC">
        <w:rPr>
          <w:rFonts w:ascii="Times New Roman" w:hAnsi="Times New Roman" w:cs="Times New Roman"/>
          <w:vertAlign w:val="superscript"/>
        </w:rPr>
        <w:t>177</w:t>
      </w:r>
      <w:r w:rsidRPr="005A0CEC">
        <w:rPr>
          <w:rFonts w:ascii="Times New Roman" w:hAnsi="Times New Roman" w:cs="Times New Roman"/>
        </w:rPr>
        <w:t>Hf = 0.282772 (</w:t>
      </w:r>
      <w:proofErr w:type="spellStart"/>
      <w:r w:rsidRPr="005A0CEC">
        <w:rPr>
          <w:rFonts w:ascii="Times New Roman" w:hAnsi="Times New Roman" w:cs="Times New Roman"/>
        </w:rPr>
        <w:t>Blichert</w:t>
      </w:r>
      <w:proofErr w:type="spellEnd"/>
      <w:r w:rsidRPr="005A0CEC">
        <w:rPr>
          <w:rFonts w:ascii="Times New Roman" w:hAnsi="Times New Roman" w:cs="Times New Roman"/>
        </w:rPr>
        <w:t xml:space="preserve">-Toft and </w:t>
      </w:r>
      <w:proofErr w:type="spellStart"/>
      <w:r w:rsidRPr="005A0CEC">
        <w:rPr>
          <w:rFonts w:ascii="Times New Roman" w:hAnsi="Times New Roman" w:cs="Times New Roman"/>
        </w:rPr>
        <w:t>Albarede</w:t>
      </w:r>
      <w:proofErr w:type="spellEnd"/>
      <w:r w:rsidRPr="005A0CEC">
        <w:rPr>
          <w:rFonts w:ascii="Times New Roman" w:hAnsi="Times New Roman" w:cs="Times New Roman"/>
        </w:rPr>
        <w:t xml:space="preserve">, 1997); depleted mantle (DM), with </w:t>
      </w:r>
      <w:r w:rsidRPr="005A0CEC">
        <w:rPr>
          <w:rFonts w:ascii="Times New Roman" w:hAnsi="Times New Roman" w:cs="Times New Roman"/>
          <w:vertAlign w:val="superscript"/>
        </w:rPr>
        <w:t>176</w:t>
      </w:r>
      <w:r w:rsidRPr="005A0CEC">
        <w:rPr>
          <w:rFonts w:ascii="Times New Roman" w:hAnsi="Times New Roman" w:cs="Times New Roman"/>
        </w:rPr>
        <w:t>Lu/</w:t>
      </w:r>
      <w:r w:rsidRPr="005A0CEC">
        <w:rPr>
          <w:rFonts w:ascii="Times New Roman" w:hAnsi="Times New Roman" w:cs="Times New Roman"/>
          <w:vertAlign w:val="superscript"/>
        </w:rPr>
        <w:t>177</w:t>
      </w:r>
      <w:r w:rsidRPr="005A0CEC">
        <w:rPr>
          <w:rFonts w:ascii="Times New Roman" w:hAnsi="Times New Roman" w:cs="Times New Roman"/>
        </w:rPr>
        <w:t xml:space="preserve">Hf = 0.0384 and </w:t>
      </w:r>
      <w:r w:rsidRPr="005A0CEC">
        <w:rPr>
          <w:rFonts w:ascii="Times New Roman" w:hAnsi="Times New Roman" w:cs="Times New Roman"/>
          <w:vertAlign w:val="superscript"/>
        </w:rPr>
        <w:t>176</w:t>
      </w:r>
      <w:r w:rsidRPr="005A0CEC">
        <w:rPr>
          <w:rFonts w:ascii="Times New Roman" w:hAnsi="Times New Roman" w:cs="Times New Roman"/>
        </w:rPr>
        <w:t>Hf/</w:t>
      </w:r>
      <w:r w:rsidRPr="005A0CEC">
        <w:rPr>
          <w:rFonts w:ascii="Times New Roman" w:hAnsi="Times New Roman" w:cs="Times New Roman"/>
          <w:vertAlign w:val="superscript"/>
        </w:rPr>
        <w:t>177</w:t>
      </w:r>
      <w:r w:rsidRPr="005A0CEC">
        <w:rPr>
          <w:rFonts w:ascii="Times New Roman" w:hAnsi="Times New Roman" w:cs="Times New Roman"/>
        </w:rPr>
        <w:t>Hf = 0.28325 (</w:t>
      </w:r>
      <w:proofErr w:type="spellStart"/>
      <w:r w:rsidRPr="005A0CEC">
        <w:rPr>
          <w:rFonts w:ascii="Times New Roman" w:hAnsi="Times New Roman" w:cs="Times New Roman"/>
        </w:rPr>
        <w:t>Chauvel</w:t>
      </w:r>
      <w:proofErr w:type="spellEnd"/>
      <w:r w:rsidRPr="005A0CEC">
        <w:rPr>
          <w:rFonts w:ascii="Times New Roman" w:hAnsi="Times New Roman" w:cs="Times New Roman"/>
        </w:rPr>
        <w:t xml:space="preserve"> and </w:t>
      </w:r>
      <w:proofErr w:type="spellStart"/>
      <w:r w:rsidRPr="005A0CEC">
        <w:rPr>
          <w:rFonts w:ascii="Times New Roman" w:hAnsi="Times New Roman" w:cs="Times New Roman"/>
        </w:rPr>
        <w:t>Blichert</w:t>
      </w:r>
      <w:proofErr w:type="spellEnd"/>
      <w:r w:rsidRPr="005A0CEC">
        <w:rPr>
          <w:rFonts w:ascii="Times New Roman" w:hAnsi="Times New Roman" w:cs="Times New Roman"/>
        </w:rPr>
        <w:t xml:space="preserve">-Toft, 2001); and a </w:t>
      </w:r>
      <w:r w:rsidRPr="005A0CEC">
        <w:rPr>
          <w:rFonts w:ascii="Times New Roman" w:hAnsi="Times New Roman" w:cs="Times New Roman"/>
          <w:vertAlign w:val="superscript"/>
        </w:rPr>
        <w:t>176</w:t>
      </w:r>
      <w:r w:rsidRPr="005A0CEC">
        <w:rPr>
          <w:rFonts w:ascii="Times New Roman" w:hAnsi="Times New Roman" w:cs="Times New Roman"/>
        </w:rPr>
        <w:t>Lu decay constant of 1.8648 × 10</w:t>
      </w:r>
      <w:r w:rsidRPr="005A0CEC">
        <w:rPr>
          <w:rFonts w:ascii="Times New Roman" w:hAnsi="Times New Roman" w:cs="Times New Roman"/>
          <w:vertAlign w:val="superscript"/>
        </w:rPr>
        <w:t>-11</w:t>
      </w:r>
      <w:r w:rsidRPr="005A0CEC">
        <w:rPr>
          <w:rFonts w:ascii="Times New Roman" w:hAnsi="Times New Roman" w:cs="Times New Roman"/>
        </w:rPr>
        <w:t xml:space="preserve"> (Scherer et al., 2001).</w:t>
      </w:r>
    </w:p>
    <w:p w:rsidR="005A0CEC" w:rsidRDefault="005A0CEC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References</w:t>
      </w:r>
    </w:p>
    <w:p w:rsidR="008E2B6F" w:rsidRDefault="008E2B6F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8E2B6F">
        <w:rPr>
          <w:rFonts w:ascii="Times New Roman" w:hAnsi="Times New Roman" w:cs="Times New Roman"/>
        </w:rPr>
        <w:lastRenderedPageBreak/>
        <w:t>Blichert</w:t>
      </w:r>
      <w:proofErr w:type="spellEnd"/>
      <w:r w:rsidRPr="008E2B6F">
        <w:rPr>
          <w:rFonts w:ascii="Times New Roman" w:hAnsi="Times New Roman" w:cs="Times New Roman"/>
        </w:rPr>
        <w:t xml:space="preserve">-Toft, J. and </w:t>
      </w:r>
      <w:proofErr w:type="spellStart"/>
      <w:r w:rsidRPr="008E2B6F">
        <w:rPr>
          <w:rFonts w:ascii="Times New Roman" w:hAnsi="Times New Roman" w:cs="Times New Roman"/>
        </w:rPr>
        <w:t>Albarède</w:t>
      </w:r>
      <w:proofErr w:type="spellEnd"/>
      <w:r w:rsidRPr="008E2B6F">
        <w:rPr>
          <w:rFonts w:ascii="Times New Roman" w:hAnsi="Times New Roman" w:cs="Times New Roman"/>
        </w:rPr>
        <w:t xml:space="preserve">, F.: The Lu-Hf isotope geochemistry of chondrites and the evolution of the mantle-crust system, Earth and Planetary Science Letters, 148, 243–258, https://doi.org/10.1016/s0012-821x(97)00040-x, 1997. </w:t>
      </w:r>
    </w:p>
    <w:p w:rsidR="005A0CEC" w:rsidRPr="005A0CEC" w:rsidRDefault="008E2B6F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8E2B6F">
        <w:rPr>
          <w:rFonts w:ascii="Times New Roman" w:hAnsi="Times New Roman" w:cs="Times New Roman"/>
        </w:rPr>
        <w:t>Chauvel</w:t>
      </w:r>
      <w:proofErr w:type="spellEnd"/>
      <w:r w:rsidRPr="008E2B6F">
        <w:rPr>
          <w:rFonts w:ascii="Times New Roman" w:hAnsi="Times New Roman" w:cs="Times New Roman"/>
        </w:rPr>
        <w:t xml:space="preserve">, C. and </w:t>
      </w:r>
      <w:proofErr w:type="spellStart"/>
      <w:r w:rsidRPr="008E2B6F">
        <w:rPr>
          <w:rFonts w:ascii="Times New Roman" w:hAnsi="Times New Roman" w:cs="Times New Roman"/>
        </w:rPr>
        <w:t>Blichert</w:t>
      </w:r>
      <w:proofErr w:type="spellEnd"/>
      <w:r w:rsidRPr="008E2B6F">
        <w:rPr>
          <w:rFonts w:ascii="Times New Roman" w:hAnsi="Times New Roman" w:cs="Times New Roman"/>
        </w:rPr>
        <w:t>-Toft, J.: A hafnium isotope and trace element perspective on melting of the depleted mantle, Earth and Planetary Science Letters, 190, 137–151, https://doi.org/10.1016/s0012-821x(01)00379-x, 2001.</w:t>
      </w:r>
    </w:p>
    <w:p w:rsidR="00D473BF" w:rsidRDefault="008E2B6F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8E2B6F">
        <w:rPr>
          <w:rFonts w:ascii="Times New Roman" w:hAnsi="Times New Roman" w:cs="Times New Roman"/>
        </w:rPr>
        <w:t xml:space="preserve">Chu, N.-C., Taylor, R. N., </w:t>
      </w:r>
      <w:proofErr w:type="spellStart"/>
      <w:r w:rsidRPr="008E2B6F">
        <w:rPr>
          <w:rFonts w:ascii="Times New Roman" w:hAnsi="Times New Roman" w:cs="Times New Roman"/>
        </w:rPr>
        <w:t>Chavagnac</w:t>
      </w:r>
      <w:proofErr w:type="spellEnd"/>
      <w:r w:rsidRPr="008E2B6F">
        <w:rPr>
          <w:rFonts w:ascii="Times New Roman" w:hAnsi="Times New Roman" w:cs="Times New Roman"/>
        </w:rPr>
        <w:t xml:space="preserve">, V., Nesbitt, R. W., </w:t>
      </w:r>
      <w:proofErr w:type="spellStart"/>
      <w:r w:rsidRPr="008E2B6F">
        <w:rPr>
          <w:rFonts w:ascii="Times New Roman" w:hAnsi="Times New Roman" w:cs="Times New Roman"/>
        </w:rPr>
        <w:t>Boella</w:t>
      </w:r>
      <w:proofErr w:type="spellEnd"/>
      <w:r w:rsidRPr="008E2B6F">
        <w:rPr>
          <w:rFonts w:ascii="Times New Roman" w:hAnsi="Times New Roman" w:cs="Times New Roman"/>
        </w:rPr>
        <w:t xml:space="preserve">, R. M., Milton, J. A., German, C. R., </w:t>
      </w:r>
      <w:proofErr w:type="spellStart"/>
      <w:r w:rsidRPr="008E2B6F">
        <w:rPr>
          <w:rFonts w:ascii="Times New Roman" w:hAnsi="Times New Roman" w:cs="Times New Roman"/>
        </w:rPr>
        <w:t>Bayon</w:t>
      </w:r>
      <w:proofErr w:type="spellEnd"/>
      <w:r w:rsidRPr="008E2B6F">
        <w:rPr>
          <w:rFonts w:ascii="Times New Roman" w:hAnsi="Times New Roman" w:cs="Times New Roman"/>
        </w:rPr>
        <w:t xml:space="preserve">, G., and Burton, K.: Hf isotope ratio analysis using multi-collector inductively coupled plasma mass spectrometry: an evaluation of isobaric interference corrections, J. Anal. At. </w:t>
      </w:r>
      <w:proofErr w:type="spellStart"/>
      <w:r w:rsidRPr="008E2B6F">
        <w:rPr>
          <w:rFonts w:ascii="Times New Roman" w:hAnsi="Times New Roman" w:cs="Times New Roman"/>
        </w:rPr>
        <w:t>Spectrom</w:t>
      </w:r>
      <w:proofErr w:type="spellEnd"/>
      <w:r w:rsidRPr="008E2B6F">
        <w:rPr>
          <w:rFonts w:ascii="Times New Roman" w:hAnsi="Times New Roman" w:cs="Times New Roman"/>
        </w:rPr>
        <w:t>., 17, 1567–1574, https://doi.org/10.1039/b206707b, 2002.</w:t>
      </w:r>
    </w:p>
    <w:p w:rsidR="005A0CEC" w:rsidRPr="005A0CEC" w:rsidRDefault="008E2B6F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8E2B6F">
        <w:rPr>
          <w:rFonts w:ascii="Times New Roman" w:hAnsi="Times New Roman" w:cs="Times New Roman"/>
        </w:rPr>
        <w:t>Jackson, S. E., Pearson, N. J., Griffin, W. L., and Belousova, E. A.: The application of laser ablation-inductively coupled plasma-mass spectrometry to in situ U–Pb zircon geochronology, Chemical Geology, 211, 47–69, https://doi.org/10.1016/j.chemgeo.2004.06.017, 2004.</w:t>
      </w:r>
    </w:p>
    <w:p w:rsidR="00D473BF" w:rsidRDefault="008E2B6F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8E2B6F">
        <w:rPr>
          <w:rFonts w:ascii="Times New Roman" w:hAnsi="Times New Roman" w:cs="Times New Roman"/>
        </w:rPr>
        <w:t xml:space="preserve">Petrus, J. A. and </w:t>
      </w:r>
      <w:proofErr w:type="spellStart"/>
      <w:r w:rsidRPr="008E2B6F">
        <w:rPr>
          <w:rFonts w:ascii="Times New Roman" w:hAnsi="Times New Roman" w:cs="Times New Roman"/>
        </w:rPr>
        <w:t>Kamber</w:t>
      </w:r>
      <w:proofErr w:type="spellEnd"/>
      <w:r w:rsidRPr="008E2B6F">
        <w:rPr>
          <w:rFonts w:ascii="Times New Roman" w:hAnsi="Times New Roman" w:cs="Times New Roman"/>
        </w:rPr>
        <w:t xml:space="preserve">, B. S.: </w:t>
      </w:r>
      <w:proofErr w:type="spellStart"/>
      <w:r w:rsidRPr="008E2B6F">
        <w:rPr>
          <w:rFonts w:ascii="Times New Roman" w:hAnsi="Times New Roman" w:cs="Times New Roman"/>
        </w:rPr>
        <w:t>VizualAge</w:t>
      </w:r>
      <w:proofErr w:type="spellEnd"/>
      <w:r w:rsidRPr="008E2B6F">
        <w:rPr>
          <w:rFonts w:ascii="Times New Roman" w:hAnsi="Times New Roman" w:cs="Times New Roman"/>
        </w:rPr>
        <w:t xml:space="preserve">: A Novel Approach to Laser Ablation ICP‐MS U‐Pb Geochronology Data Reduction, </w:t>
      </w:r>
      <w:proofErr w:type="spellStart"/>
      <w:r w:rsidRPr="008E2B6F">
        <w:rPr>
          <w:rFonts w:ascii="Times New Roman" w:hAnsi="Times New Roman" w:cs="Times New Roman"/>
        </w:rPr>
        <w:t>Geostandard</w:t>
      </w:r>
      <w:proofErr w:type="spellEnd"/>
      <w:r w:rsidRPr="008E2B6F">
        <w:rPr>
          <w:rFonts w:ascii="Times New Roman" w:hAnsi="Times New Roman" w:cs="Times New Roman"/>
        </w:rPr>
        <w:t xml:space="preserve"> </w:t>
      </w:r>
      <w:proofErr w:type="spellStart"/>
      <w:r w:rsidRPr="008E2B6F">
        <w:rPr>
          <w:rFonts w:ascii="Times New Roman" w:hAnsi="Times New Roman" w:cs="Times New Roman"/>
        </w:rPr>
        <w:t>Geoanalytic</w:t>
      </w:r>
      <w:proofErr w:type="spellEnd"/>
      <w:r w:rsidRPr="008E2B6F">
        <w:rPr>
          <w:rFonts w:ascii="Times New Roman" w:hAnsi="Times New Roman" w:cs="Times New Roman"/>
        </w:rPr>
        <w:t xml:space="preserve"> Res, 36, 247–270, https://doi.org/10.1111/j.1751-908x.2012.00158.x, 2012.</w:t>
      </w:r>
    </w:p>
    <w:p w:rsidR="005A0CEC" w:rsidRPr="005A0CEC" w:rsidRDefault="008E2B6F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8E2B6F">
        <w:rPr>
          <w:rFonts w:ascii="Times New Roman" w:hAnsi="Times New Roman" w:cs="Times New Roman"/>
        </w:rPr>
        <w:t xml:space="preserve">Scherer, E., </w:t>
      </w:r>
      <w:proofErr w:type="spellStart"/>
      <w:r w:rsidRPr="008E2B6F">
        <w:rPr>
          <w:rFonts w:ascii="Times New Roman" w:hAnsi="Times New Roman" w:cs="Times New Roman"/>
        </w:rPr>
        <w:t>Münker</w:t>
      </w:r>
      <w:proofErr w:type="spellEnd"/>
      <w:r w:rsidRPr="008E2B6F">
        <w:rPr>
          <w:rFonts w:ascii="Times New Roman" w:hAnsi="Times New Roman" w:cs="Times New Roman"/>
        </w:rPr>
        <w:t xml:space="preserve">, C., and </w:t>
      </w:r>
      <w:proofErr w:type="spellStart"/>
      <w:r w:rsidRPr="008E2B6F">
        <w:rPr>
          <w:rFonts w:ascii="Times New Roman" w:hAnsi="Times New Roman" w:cs="Times New Roman"/>
        </w:rPr>
        <w:t>Mezger</w:t>
      </w:r>
      <w:proofErr w:type="spellEnd"/>
      <w:r w:rsidRPr="008E2B6F">
        <w:rPr>
          <w:rFonts w:ascii="Times New Roman" w:hAnsi="Times New Roman" w:cs="Times New Roman"/>
        </w:rPr>
        <w:t>, K.: Calibration of the Lutetium-Hafnium Clock, Science, 293, 683–687, https://doi.org/10.1126/science.1061372, 2001.</w:t>
      </w:r>
    </w:p>
    <w:p w:rsidR="005A0CEC" w:rsidRPr="005A0CEC" w:rsidRDefault="008E2B6F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8E2B6F">
        <w:rPr>
          <w:rFonts w:ascii="Times New Roman" w:hAnsi="Times New Roman" w:cs="Times New Roman"/>
        </w:rPr>
        <w:t>Sláma</w:t>
      </w:r>
      <w:proofErr w:type="spellEnd"/>
      <w:r w:rsidRPr="008E2B6F">
        <w:rPr>
          <w:rFonts w:ascii="Times New Roman" w:hAnsi="Times New Roman" w:cs="Times New Roman"/>
        </w:rPr>
        <w:t xml:space="preserve">, J., </w:t>
      </w:r>
      <w:proofErr w:type="spellStart"/>
      <w:r w:rsidRPr="008E2B6F">
        <w:rPr>
          <w:rFonts w:ascii="Times New Roman" w:hAnsi="Times New Roman" w:cs="Times New Roman"/>
        </w:rPr>
        <w:t>Košler</w:t>
      </w:r>
      <w:proofErr w:type="spellEnd"/>
      <w:r w:rsidRPr="008E2B6F">
        <w:rPr>
          <w:rFonts w:ascii="Times New Roman" w:hAnsi="Times New Roman" w:cs="Times New Roman"/>
        </w:rPr>
        <w:t xml:space="preserve">, J., Condon, D. J., Crowley, J. L., Gerdes, A., </w:t>
      </w:r>
      <w:proofErr w:type="spellStart"/>
      <w:r w:rsidRPr="008E2B6F">
        <w:rPr>
          <w:rFonts w:ascii="Times New Roman" w:hAnsi="Times New Roman" w:cs="Times New Roman"/>
        </w:rPr>
        <w:t>Hanchar</w:t>
      </w:r>
      <w:proofErr w:type="spellEnd"/>
      <w:r w:rsidRPr="008E2B6F">
        <w:rPr>
          <w:rFonts w:ascii="Times New Roman" w:hAnsi="Times New Roman" w:cs="Times New Roman"/>
        </w:rPr>
        <w:t xml:space="preserve">, J. M., </w:t>
      </w:r>
      <w:proofErr w:type="spellStart"/>
      <w:r w:rsidRPr="008E2B6F">
        <w:rPr>
          <w:rFonts w:ascii="Times New Roman" w:hAnsi="Times New Roman" w:cs="Times New Roman"/>
        </w:rPr>
        <w:t>Horstwood</w:t>
      </w:r>
      <w:proofErr w:type="spellEnd"/>
      <w:r w:rsidRPr="008E2B6F">
        <w:rPr>
          <w:rFonts w:ascii="Times New Roman" w:hAnsi="Times New Roman" w:cs="Times New Roman"/>
        </w:rPr>
        <w:t xml:space="preserve">, M. S. A., Morris, G. A., </w:t>
      </w:r>
      <w:proofErr w:type="spellStart"/>
      <w:r w:rsidRPr="008E2B6F">
        <w:rPr>
          <w:rFonts w:ascii="Times New Roman" w:hAnsi="Times New Roman" w:cs="Times New Roman"/>
        </w:rPr>
        <w:t>Nasdala</w:t>
      </w:r>
      <w:proofErr w:type="spellEnd"/>
      <w:r w:rsidRPr="008E2B6F">
        <w:rPr>
          <w:rFonts w:ascii="Times New Roman" w:hAnsi="Times New Roman" w:cs="Times New Roman"/>
        </w:rPr>
        <w:t xml:space="preserve">, L., Norberg, N., </w:t>
      </w:r>
      <w:proofErr w:type="spellStart"/>
      <w:r w:rsidRPr="008E2B6F">
        <w:rPr>
          <w:rFonts w:ascii="Times New Roman" w:hAnsi="Times New Roman" w:cs="Times New Roman"/>
        </w:rPr>
        <w:t>Schaltegger</w:t>
      </w:r>
      <w:proofErr w:type="spellEnd"/>
      <w:r w:rsidRPr="008E2B6F">
        <w:rPr>
          <w:rFonts w:ascii="Times New Roman" w:hAnsi="Times New Roman" w:cs="Times New Roman"/>
        </w:rPr>
        <w:t xml:space="preserve">, U., </w:t>
      </w:r>
      <w:proofErr w:type="spellStart"/>
      <w:r w:rsidRPr="008E2B6F">
        <w:rPr>
          <w:rFonts w:ascii="Times New Roman" w:hAnsi="Times New Roman" w:cs="Times New Roman"/>
        </w:rPr>
        <w:t>Schoene</w:t>
      </w:r>
      <w:proofErr w:type="spellEnd"/>
      <w:r w:rsidRPr="008E2B6F">
        <w:rPr>
          <w:rFonts w:ascii="Times New Roman" w:hAnsi="Times New Roman" w:cs="Times New Roman"/>
        </w:rPr>
        <w:t xml:space="preserve">, B., </w:t>
      </w:r>
      <w:proofErr w:type="spellStart"/>
      <w:r w:rsidRPr="008E2B6F">
        <w:rPr>
          <w:rFonts w:ascii="Times New Roman" w:hAnsi="Times New Roman" w:cs="Times New Roman"/>
        </w:rPr>
        <w:t>Tubrett</w:t>
      </w:r>
      <w:proofErr w:type="spellEnd"/>
      <w:r w:rsidRPr="008E2B6F">
        <w:rPr>
          <w:rFonts w:ascii="Times New Roman" w:hAnsi="Times New Roman" w:cs="Times New Roman"/>
        </w:rPr>
        <w:t xml:space="preserve">, M. N., and Whitehouse, M. J.: </w:t>
      </w:r>
      <w:proofErr w:type="spellStart"/>
      <w:r w:rsidRPr="008E2B6F">
        <w:rPr>
          <w:rFonts w:ascii="Times New Roman" w:hAnsi="Times New Roman" w:cs="Times New Roman"/>
        </w:rPr>
        <w:t>Plešovice</w:t>
      </w:r>
      <w:proofErr w:type="spellEnd"/>
      <w:r w:rsidRPr="008E2B6F">
        <w:rPr>
          <w:rFonts w:ascii="Times New Roman" w:hAnsi="Times New Roman" w:cs="Times New Roman"/>
        </w:rPr>
        <w:t xml:space="preserve"> zircon — A new natural reference material for U–Pb and Hf isotopic microanalysis, Chemical Geology, 249, 1–35, https://doi.org/10.1016/j.chemgeo.2007.11.005, 2008.</w:t>
      </w:r>
    </w:p>
    <w:p w:rsidR="005A0CEC" w:rsidRPr="005A0CEC" w:rsidRDefault="005A0CEC" w:rsidP="005A0CEC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5A0CEC">
        <w:rPr>
          <w:rFonts w:ascii="Times New Roman" w:hAnsi="Times New Roman" w:cs="Times New Roman"/>
        </w:rPr>
        <w:t>Wiedenbeck</w:t>
      </w:r>
      <w:proofErr w:type="spellEnd"/>
      <w:r w:rsidRPr="005A0CEC">
        <w:rPr>
          <w:rFonts w:ascii="Times New Roman" w:hAnsi="Times New Roman" w:cs="Times New Roman"/>
        </w:rPr>
        <w:t xml:space="preserve">, M.A.P.C., </w:t>
      </w:r>
      <w:proofErr w:type="spellStart"/>
      <w:r w:rsidRPr="005A0CEC">
        <w:rPr>
          <w:rFonts w:ascii="Times New Roman" w:hAnsi="Times New Roman" w:cs="Times New Roman"/>
        </w:rPr>
        <w:t>Alle</w:t>
      </w:r>
      <w:proofErr w:type="spellEnd"/>
      <w:r w:rsidRPr="005A0CEC">
        <w:rPr>
          <w:rFonts w:ascii="Times New Roman" w:hAnsi="Times New Roman" w:cs="Times New Roman"/>
        </w:rPr>
        <w:t xml:space="preserve">, P., Corfu, F.Y., Griffin, W.L., Meier, M., </w:t>
      </w:r>
      <w:proofErr w:type="spellStart"/>
      <w:r w:rsidRPr="005A0CEC">
        <w:rPr>
          <w:rFonts w:ascii="Times New Roman" w:hAnsi="Times New Roman" w:cs="Times New Roman"/>
        </w:rPr>
        <w:t>Oberli</w:t>
      </w:r>
      <w:proofErr w:type="spellEnd"/>
      <w:r w:rsidRPr="005A0CEC">
        <w:rPr>
          <w:rFonts w:ascii="Times New Roman" w:hAnsi="Times New Roman" w:cs="Times New Roman"/>
        </w:rPr>
        <w:t xml:space="preserve">, F.V., </w:t>
      </w:r>
      <w:proofErr w:type="spellStart"/>
      <w:r w:rsidRPr="005A0CEC">
        <w:rPr>
          <w:rFonts w:ascii="Times New Roman" w:hAnsi="Times New Roman" w:cs="Times New Roman"/>
        </w:rPr>
        <w:t>Quadt</w:t>
      </w:r>
      <w:proofErr w:type="spellEnd"/>
      <w:r w:rsidRPr="005A0CEC">
        <w:rPr>
          <w:rFonts w:ascii="Times New Roman" w:hAnsi="Times New Roman" w:cs="Times New Roman"/>
        </w:rPr>
        <w:t>, A.V., Roddick, J.C. and Spiegel, W.</w:t>
      </w:r>
      <w:r w:rsidR="008E2B6F">
        <w:rPr>
          <w:rFonts w:ascii="Times New Roman" w:hAnsi="Times New Roman" w:cs="Times New Roman"/>
        </w:rPr>
        <w:t>:</w:t>
      </w:r>
      <w:r w:rsidRPr="005A0CEC">
        <w:rPr>
          <w:rFonts w:ascii="Times New Roman" w:hAnsi="Times New Roman" w:cs="Times New Roman"/>
        </w:rPr>
        <w:t xml:space="preserve"> Three natural zircon standards for U‐Th‐Pb, Lu‐Hf, trace element and REE analyses</w:t>
      </w:r>
      <w:r w:rsidR="008E2B6F">
        <w:rPr>
          <w:rFonts w:ascii="Times New Roman" w:hAnsi="Times New Roman" w:cs="Times New Roman"/>
        </w:rPr>
        <w:t>,</w:t>
      </w:r>
      <w:r w:rsidRPr="005A0CEC">
        <w:rPr>
          <w:rFonts w:ascii="Times New Roman" w:hAnsi="Times New Roman" w:cs="Times New Roman"/>
        </w:rPr>
        <w:t xml:space="preserve"> </w:t>
      </w:r>
      <w:proofErr w:type="spellStart"/>
      <w:r w:rsidR="008E2B6F" w:rsidRPr="008E2B6F">
        <w:rPr>
          <w:rFonts w:ascii="Times New Roman" w:hAnsi="Times New Roman" w:cs="Times New Roman"/>
        </w:rPr>
        <w:t>Geostandards</w:t>
      </w:r>
      <w:proofErr w:type="spellEnd"/>
      <w:r w:rsidR="008E2B6F" w:rsidRPr="008E2B6F">
        <w:rPr>
          <w:rFonts w:ascii="Times New Roman" w:hAnsi="Times New Roman" w:cs="Times New Roman"/>
        </w:rPr>
        <w:t xml:space="preserve"> Newsletter, 19, 1–23, https://doi.org/10.1111/j.1751-908x.1995.tb00147.x, 1995.</w:t>
      </w:r>
    </w:p>
    <w:sectPr w:rsidR="005A0CEC" w:rsidRPr="005A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CEC"/>
    <w:rsid w:val="003634F7"/>
    <w:rsid w:val="005A0CEC"/>
    <w:rsid w:val="008E2B6F"/>
    <w:rsid w:val="00A05379"/>
    <w:rsid w:val="00D4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21737"/>
  <w15:chartTrackingRefBased/>
  <w15:docId w15:val="{A8779386-B8FB-4FD6-B8B5-C3E0701F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CEC"/>
    <w:pPr>
      <w:spacing w:after="0" w:line="276" w:lineRule="auto"/>
    </w:pPr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A0C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0C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0CEC"/>
    <w:rPr>
      <w:rFonts w:ascii="Arial" w:eastAsia="Arial" w:hAnsi="Arial" w:cs="Arial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C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CEC"/>
    <w:rPr>
      <w:rFonts w:ascii="Segoe UI" w:eastAsia="Arial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8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CGS</Company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Collett</dc:creator>
  <cp:keywords/>
  <dc:description/>
  <cp:lastModifiedBy>Stephen Collett</cp:lastModifiedBy>
  <cp:revision>5</cp:revision>
  <dcterms:created xsi:type="dcterms:W3CDTF">2025-12-16T10:02:00Z</dcterms:created>
  <dcterms:modified xsi:type="dcterms:W3CDTF">2026-01-16T07:56:00Z</dcterms:modified>
</cp:coreProperties>
</file>